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B91B7" w14:textId="09E2318B" w:rsidR="00EC1156" w:rsidRPr="00EC1156" w:rsidRDefault="00EC1156" w:rsidP="00EC1156">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485B04">
        <w:rPr>
          <w:rFonts w:ascii="Arial" w:hAnsi="Arial"/>
          <w:b/>
          <w:kern w:val="0"/>
          <w:sz w:val="24"/>
          <w:lang w:val="en-US" w:eastAsia="zh-CN"/>
          <w14:ligatures w14:val="none"/>
        </w:rPr>
        <w:t>-WG4</w:t>
      </w:r>
      <w:r w:rsidRPr="00EC1156">
        <w:rPr>
          <w:rFonts w:ascii="Arial" w:hAnsi="Arial"/>
          <w:b/>
          <w:kern w:val="0"/>
          <w:sz w:val="24"/>
          <w:lang w:val="en-US" w:eastAsia="zh-CN"/>
          <w14:ligatures w14:val="none"/>
        </w:rPr>
        <w:t xml:space="preserve"> Meeting #</w:t>
      </w:r>
      <w:r w:rsidR="00AB76CD">
        <w:rPr>
          <w:rFonts w:ascii="Arial" w:hAnsi="Arial"/>
          <w:b/>
          <w:kern w:val="0"/>
          <w:sz w:val="24"/>
          <w:lang w:val="en-US" w:eastAsia="zh-CN"/>
          <w14:ligatures w14:val="none"/>
        </w:rPr>
        <w:t>110</w:t>
      </w:r>
      <w:r w:rsidRPr="00EC1156">
        <w:rPr>
          <w:rFonts w:ascii="Arial" w:hAnsi="Arial"/>
          <w:b/>
          <w:kern w:val="0"/>
          <w:sz w:val="24"/>
          <w:lang w:val="en-US" w:eastAsia="zh-CN"/>
          <w14:ligatures w14:val="none"/>
        </w:rPr>
        <w:tab/>
      </w:r>
      <w:r w:rsidR="00706E20" w:rsidRPr="00706E20">
        <w:rPr>
          <w:rFonts w:ascii="Arial" w:hAnsi="Arial"/>
          <w:b/>
          <w:kern w:val="0"/>
          <w:sz w:val="24"/>
          <w:lang w:val="en-US" w:eastAsia="zh-CN"/>
          <w14:ligatures w14:val="none"/>
        </w:rPr>
        <w:t>R4-2400511</w:t>
      </w:r>
    </w:p>
    <w:p w14:paraId="1173C75E" w14:textId="0535C563" w:rsidR="00EC1156" w:rsidRPr="00EC1156" w:rsidRDefault="009C4EF8" w:rsidP="00EC1156">
      <w:pPr>
        <w:tabs>
          <w:tab w:val="left" w:pos="1701"/>
          <w:tab w:val="right" w:pos="9639"/>
        </w:tabs>
        <w:spacing w:after="240"/>
        <w:rPr>
          <w:rFonts w:ascii="Arial" w:hAnsi="Arial"/>
          <w:b/>
          <w:kern w:val="0"/>
          <w:sz w:val="24"/>
          <w:lang w:eastAsia="zh-CN"/>
          <w14:ligatures w14:val="none"/>
        </w:rPr>
      </w:pPr>
      <w:r w:rsidRPr="009C4EF8">
        <w:rPr>
          <w:rFonts w:ascii="Arial" w:hAnsi="Arial"/>
          <w:b/>
          <w:kern w:val="0"/>
          <w:sz w:val="24"/>
          <w:lang w:eastAsia="zh-CN"/>
          <w14:ligatures w14:val="none"/>
        </w:rPr>
        <w:t>Athens, Greece, February 26th – March 1st, 2024</w:t>
      </w:r>
    </w:p>
    <w:p w14:paraId="4424899E" w14:textId="56E57775" w:rsidR="00EC1156" w:rsidRDefault="00EC1156" w:rsidP="00EC1156">
      <w:pPr>
        <w:pStyle w:val="3GPPHeader"/>
        <w:jc w:val="left"/>
        <w:rPr>
          <w:sz w:val="22"/>
          <w:lang w:val="en-GB"/>
        </w:rPr>
      </w:pPr>
      <w:r>
        <w:rPr>
          <w:sz w:val="22"/>
          <w:lang w:val="en-GB"/>
        </w:rPr>
        <w:t>Agenda Item:</w:t>
      </w:r>
      <w:r>
        <w:rPr>
          <w:sz w:val="22"/>
          <w:lang w:val="en-GB"/>
        </w:rPr>
        <w:tab/>
      </w:r>
      <w:r w:rsidR="009C4EF8" w:rsidRPr="009C4EF8">
        <w:rPr>
          <w:sz w:val="22"/>
          <w:lang w:val="en-GB"/>
        </w:rPr>
        <w:t>8.18.6.1</w:t>
      </w:r>
    </w:p>
    <w:p w14:paraId="48C05454" w14:textId="4F23CCF9" w:rsidR="00EC1156" w:rsidRDefault="00EC1156" w:rsidP="00EC1156">
      <w:pPr>
        <w:pStyle w:val="3GPPHeader"/>
        <w:jc w:val="left"/>
        <w:rPr>
          <w:sz w:val="22"/>
          <w:lang w:val="en-GB"/>
        </w:rPr>
      </w:pPr>
      <w:r>
        <w:rPr>
          <w:sz w:val="22"/>
          <w:lang w:val="en-GB"/>
        </w:rPr>
        <w:t>Source:</w:t>
      </w:r>
      <w:r>
        <w:rPr>
          <w:sz w:val="22"/>
          <w:lang w:val="en-GB"/>
        </w:rPr>
        <w:tab/>
        <w:t>Eutelsat</w:t>
      </w:r>
      <w:r w:rsidR="00255407">
        <w:rPr>
          <w:sz w:val="22"/>
          <w:lang w:val="en-GB"/>
        </w:rPr>
        <w:t xml:space="preserve"> Group</w:t>
      </w:r>
    </w:p>
    <w:p w14:paraId="157003DE" w14:textId="18E04DBB" w:rsidR="00EC1156" w:rsidRDefault="00EC1156" w:rsidP="00EC1156">
      <w:pPr>
        <w:pStyle w:val="3GPPHeader"/>
        <w:jc w:val="left"/>
        <w:rPr>
          <w:sz w:val="22"/>
          <w:lang w:val="en-GB"/>
        </w:rPr>
      </w:pPr>
      <w:r>
        <w:rPr>
          <w:sz w:val="22"/>
          <w:lang w:val="en-GB"/>
        </w:rPr>
        <w:t>Title:</w:t>
      </w:r>
      <w:r>
        <w:rPr>
          <w:sz w:val="22"/>
          <w:lang w:val="en-GB"/>
        </w:rPr>
        <w:tab/>
      </w:r>
      <w:bookmarkStart w:id="0" w:name="_Hlk157001858"/>
      <w:r w:rsidRPr="00EC1156">
        <w:rPr>
          <w:sz w:val="22"/>
          <w:lang w:val="en-GB"/>
        </w:rPr>
        <w:t xml:space="preserve">Motivation to </w:t>
      </w:r>
      <w:r w:rsidR="00706E20">
        <w:rPr>
          <w:sz w:val="22"/>
          <w:lang w:val="en-GB"/>
        </w:rPr>
        <w:t>s</w:t>
      </w:r>
      <w:r w:rsidRPr="00EC1156">
        <w:rPr>
          <w:sz w:val="22"/>
          <w:lang w:val="en-GB"/>
        </w:rPr>
        <w:t>upport</w:t>
      </w:r>
      <w:r w:rsidR="00485B04">
        <w:rPr>
          <w:sz w:val="22"/>
          <w:lang w:val="en-GB"/>
        </w:rPr>
        <w:t xml:space="preserve"> </w:t>
      </w:r>
      <w:r w:rsidR="00706E20">
        <w:rPr>
          <w:sz w:val="22"/>
          <w:lang w:val="en-GB"/>
        </w:rPr>
        <w:t>m</w:t>
      </w:r>
      <w:r w:rsidR="00485B04">
        <w:rPr>
          <w:sz w:val="22"/>
          <w:lang w:val="en-GB"/>
        </w:rPr>
        <w:t>obile VSAT</w:t>
      </w:r>
      <w:r w:rsidR="00D930DD">
        <w:rPr>
          <w:sz w:val="22"/>
          <w:lang w:val="en-GB"/>
        </w:rPr>
        <w:t xml:space="preserve"> in </w:t>
      </w:r>
      <w:r w:rsidR="00965449">
        <w:rPr>
          <w:sz w:val="22"/>
          <w:lang w:val="en-GB"/>
        </w:rPr>
        <w:t>NGSO</w:t>
      </w:r>
      <w:r w:rsidRPr="00EC1156">
        <w:rPr>
          <w:sz w:val="22"/>
          <w:lang w:val="en-GB"/>
        </w:rPr>
        <w:t xml:space="preserve"> </w:t>
      </w:r>
      <w:r w:rsidR="00706E20">
        <w:rPr>
          <w:sz w:val="22"/>
          <w:lang w:val="en-GB"/>
        </w:rPr>
        <w:t>d</w:t>
      </w:r>
      <w:r w:rsidRPr="00EC1156">
        <w:rPr>
          <w:sz w:val="22"/>
          <w:lang w:val="en-GB"/>
        </w:rPr>
        <w:t xml:space="preserve">eployment </w:t>
      </w:r>
      <w:r w:rsidR="00706E20">
        <w:rPr>
          <w:sz w:val="22"/>
          <w:lang w:val="en-GB"/>
        </w:rPr>
        <w:t>s</w:t>
      </w:r>
      <w:r w:rsidRPr="00EC1156">
        <w:rPr>
          <w:sz w:val="22"/>
          <w:lang w:val="en-GB"/>
        </w:rPr>
        <w:t>cenarios</w:t>
      </w:r>
    </w:p>
    <w:bookmarkEnd w:id="0"/>
    <w:p w14:paraId="05511DF7" w14:textId="062C462A" w:rsidR="00EC1156" w:rsidRDefault="00EC1156" w:rsidP="00EC1156">
      <w:pPr>
        <w:pStyle w:val="3GPPHeader"/>
        <w:jc w:val="left"/>
        <w:rPr>
          <w:sz w:val="22"/>
          <w:lang w:val="en-GB"/>
        </w:rPr>
      </w:pPr>
      <w:r>
        <w:rPr>
          <w:sz w:val="22"/>
          <w:lang w:val="en-GB"/>
        </w:rPr>
        <w:t>Document for:</w:t>
      </w:r>
      <w:r>
        <w:rPr>
          <w:sz w:val="22"/>
          <w:lang w:val="en-GB"/>
        </w:rPr>
        <w:tab/>
      </w:r>
      <w:r w:rsidR="003A08FB">
        <w:rPr>
          <w:sz w:val="22"/>
          <w:lang w:val="en-GB"/>
        </w:rPr>
        <w:t>Decision</w:t>
      </w:r>
    </w:p>
    <w:p w14:paraId="21ACEB28" w14:textId="07967318" w:rsidR="00E26FA0" w:rsidRPr="00EC1156" w:rsidRDefault="00EC1156" w:rsidP="00EC1156">
      <w:pPr>
        <w:pStyle w:val="Heading1"/>
        <w:spacing w:before="120" w:after="0"/>
      </w:pPr>
      <w:r>
        <w:t>1</w:t>
      </w:r>
      <w:r>
        <w:tab/>
      </w:r>
      <w:r w:rsidR="00E26FA0" w:rsidRPr="00EC1156">
        <w:t>Background</w:t>
      </w:r>
    </w:p>
    <w:p w14:paraId="1BE075D3" w14:textId="77777777" w:rsidR="00EC1156" w:rsidRDefault="00EC1156" w:rsidP="00AC1FC6"/>
    <w:p w14:paraId="7D66C2E1" w14:textId="2FC6F880" w:rsidR="00602DAD" w:rsidRDefault="00602DAD" w:rsidP="00602DAD">
      <w:r>
        <w:t xml:space="preserve">The Liaison Statement from GSOA [1] presented at RAN#102 illustrates the </w:t>
      </w:r>
      <w:r w:rsidR="00470FBF">
        <w:t xml:space="preserve">market </w:t>
      </w:r>
      <w:r>
        <w:t>opportunities and industry led initiatives related to standardization</w:t>
      </w:r>
      <w:r w:rsidDel="00F91D95">
        <w:t xml:space="preserve"> </w:t>
      </w:r>
      <w:r>
        <w:t>of NR NTN in bands above 10 GHz (FR2-NTN). At the same meeting</w:t>
      </w:r>
      <w:r w:rsidR="00470FBF">
        <w:t>,</w:t>
      </w:r>
      <w:r>
        <w:t xml:space="preserve"> contribution [2] provided some </w:t>
      </w:r>
      <w:proofErr w:type="gramStart"/>
      <w:r>
        <w:t>further more</w:t>
      </w:r>
      <w:proofErr w:type="gramEnd"/>
      <w:r>
        <w:t xml:space="preserve"> detailed information on the initiatives of Eutelsat Group (as a</w:t>
      </w:r>
      <w:r w:rsidRPr="00FC088D">
        <w:t xml:space="preserve"> GEO-LEO operator in satellite communications</w:t>
      </w:r>
      <w:r>
        <w:t>) related to deployment scenarios of</w:t>
      </w:r>
      <w:r w:rsidRPr="00AB76CD">
        <w:t xml:space="preserve"> </w:t>
      </w:r>
      <w:r>
        <w:t xml:space="preserve">FR2-NTN. </w:t>
      </w:r>
    </w:p>
    <w:p w14:paraId="14C9AF9F" w14:textId="1CBB6743" w:rsidR="00EC1156" w:rsidRDefault="00EC1156" w:rsidP="00EC1156">
      <w:pPr>
        <w:keepNext/>
        <w:keepLines/>
        <w:pBdr>
          <w:top w:val="single" w:sz="12" w:space="3" w:color="auto"/>
        </w:pBdr>
        <w:overflowPunct w:val="0"/>
        <w:autoSpaceDE w:val="0"/>
        <w:autoSpaceDN w:val="0"/>
        <w:adjustRightInd w:val="0"/>
        <w:spacing w:before="120" w:after="0" w:line="240" w:lineRule="auto"/>
        <w:ind w:left="1134" w:hanging="1134"/>
        <w:textAlignment w:val="baseline"/>
        <w:outlineLvl w:val="0"/>
        <w:rPr>
          <w:rFonts w:ascii="Arial" w:eastAsia="Times New Roman" w:hAnsi="Arial" w:cs="Arial"/>
          <w:kern w:val="0"/>
          <w:sz w:val="36"/>
          <w:szCs w:val="36"/>
          <w:lang w:eastAsia="ja-JP"/>
          <w14:ligatures w14:val="none"/>
        </w:rPr>
      </w:pPr>
      <w:r w:rsidRPr="00EC1156">
        <w:rPr>
          <w:rFonts w:ascii="Arial" w:eastAsia="Times New Roman" w:hAnsi="Arial" w:cs="Arial"/>
          <w:kern w:val="0"/>
          <w:sz w:val="36"/>
          <w:szCs w:val="36"/>
          <w:lang w:eastAsia="ja-JP"/>
          <w14:ligatures w14:val="none"/>
        </w:rPr>
        <w:t>2</w:t>
      </w:r>
      <w:r w:rsidRPr="00EC1156">
        <w:rPr>
          <w:rFonts w:ascii="Arial" w:eastAsia="Times New Roman" w:hAnsi="Arial" w:cs="Arial"/>
          <w:kern w:val="0"/>
          <w:sz w:val="36"/>
          <w:szCs w:val="36"/>
          <w:lang w:eastAsia="ja-JP"/>
          <w14:ligatures w14:val="none"/>
        </w:rPr>
        <w:tab/>
      </w:r>
      <w:r w:rsidR="00187F8B">
        <w:rPr>
          <w:rFonts w:ascii="Arial" w:eastAsia="Times New Roman" w:hAnsi="Arial" w:cs="Arial"/>
          <w:kern w:val="0"/>
          <w:sz w:val="36"/>
          <w:szCs w:val="36"/>
          <w:lang w:eastAsia="ja-JP"/>
          <w14:ligatures w14:val="none"/>
        </w:rPr>
        <w:t>Discussion</w:t>
      </w:r>
    </w:p>
    <w:p w14:paraId="39C11598" w14:textId="77777777" w:rsidR="00EC1156" w:rsidRPr="00EC1156" w:rsidRDefault="00EC1156" w:rsidP="00EC1156">
      <w:pPr>
        <w:keepNext/>
        <w:keepLines/>
        <w:pBdr>
          <w:top w:val="single" w:sz="12" w:space="3" w:color="auto"/>
        </w:pBdr>
        <w:overflowPunct w:val="0"/>
        <w:autoSpaceDE w:val="0"/>
        <w:autoSpaceDN w:val="0"/>
        <w:adjustRightInd w:val="0"/>
        <w:spacing w:before="120" w:after="0" w:line="240" w:lineRule="auto"/>
        <w:ind w:left="1134" w:hanging="1134"/>
        <w:textAlignment w:val="baseline"/>
        <w:outlineLvl w:val="0"/>
        <w:rPr>
          <w:rFonts w:ascii="Arial" w:eastAsia="Times New Roman" w:hAnsi="Arial" w:cs="Arial"/>
          <w:kern w:val="0"/>
          <w:sz w:val="20"/>
          <w:szCs w:val="20"/>
          <w:lang w:eastAsia="ja-JP"/>
          <w14:ligatures w14:val="none"/>
        </w:rPr>
      </w:pPr>
    </w:p>
    <w:p w14:paraId="2AE918B9" w14:textId="7FF9FB74" w:rsidR="00602DAD" w:rsidRDefault="004F6110" w:rsidP="00602DAD">
      <w:r>
        <w:t>Eutelsat-</w:t>
      </w:r>
      <w:proofErr w:type="spellStart"/>
      <w:r w:rsidR="00602DAD">
        <w:t>OneWeb</w:t>
      </w:r>
      <w:proofErr w:type="spellEnd"/>
      <w:r w:rsidR="00602DAD">
        <w:t xml:space="preserve"> Generation 1 (</w:t>
      </w:r>
      <w:r w:rsidR="00F57511">
        <w:t>“</w:t>
      </w:r>
      <w:r w:rsidR="00602DAD">
        <w:t>Gen1</w:t>
      </w:r>
      <w:r w:rsidR="00F57511">
        <w:t>”</w:t>
      </w:r>
      <w:r w:rsidR="00602DAD">
        <w:t xml:space="preserve">) satellite constellation is already in commercial service, providing broadband access from over 630 LEO satellites at an altitude of 1200 km [3]. The Gen1 service link air interface is based on a proprietary technology. It provides connectivity to both fixed and mobile users through a variety of VSAT terminal form factors and capabilities. The use cases encompass fixed, ground (nomadic), sea and air coverage types, examples include vehicular, ships and other maritime (ESIM-M), rail (including high speed train to circa. 400 km/h), commercial aircraft (ESIM-A operational at </w:t>
      </w:r>
      <w:r w:rsidR="00C34585">
        <w:t xml:space="preserve">up to </w:t>
      </w:r>
      <w:r w:rsidR="00602DAD">
        <w:t xml:space="preserve">circa. 1050 km/h cruising speed) and ‘person portable’ (static or slow moving, circa. 0 – 3 km/h). </w:t>
      </w:r>
    </w:p>
    <w:p w14:paraId="5B88CF3F" w14:textId="77777777" w:rsidR="003D57FC" w:rsidRDefault="00D930DD" w:rsidP="00602DAD">
      <w:r w:rsidRPr="00175B70">
        <w:rPr>
          <w:i/>
          <w:iCs/>
        </w:rPr>
        <w:t xml:space="preserve">Note: </w:t>
      </w:r>
      <w:r w:rsidRPr="00175B70">
        <w:rPr>
          <w:b/>
          <w:bCs/>
          <w:i/>
          <w:iCs/>
        </w:rPr>
        <w:t>ESIM</w:t>
      </w:r>
      <w:r w:rsidRPr="00175B70">
        <w:rPr>
          <w:i/>
          <w:iCs/>
        </w:rPr>
        <w:t xml:space="preserve"> (</w:t>
      </w:r>
      <w:r w:rsidR="00175B70" w:rsidRPr="00175B70">
        <w:rPr>
          <w:i/>
          <w:iCs/>
        </w:rPr>
        <w:t xml:space="preserve">Earth Station </w:t>
      </w:r>
      <w:proofErr w:type="gramStart"/>
      <w:r w:rsidR="00175B70" w:rsidRPr="00175B70">
        <w:rPr>
          <w:i/>
          <w:iCs/>
        </w:rPr>
        <w:t>In</w:t>
      </w:r>
      <w:proofErr w:type="gramEnd"/>
      <w:r w:rsidR="00175B70" w:rsidRPr="00175B70">
        <w:rPr>
          <w:i/>
          <w:iCs/>
        </w:rPr>
        <w:t xml:space="preserve"> Motion) and </w:t>
      </w:r>
      <w:r w:rsidR="00175B70" w:rsidRPr="00175B70">
        <w:rPr>
          <w:b/>
          <w:bCs/>
          <w:i/>
          <w:iCs/>
        </w:rPr>
        <w:t>Mobile VSAT</w:t>
      </w:r>
      <w:r w:rsidR="00175B70" w:rsidRPr="00175B70">
        <w:rPr>
          <w:i/>
          <w:iCs/>
        </w:rPr>
        <w:t xml:space="preserve"> (Mobile Very Small Aperture Terminal) are equivalent in the scope of the present document.</w:t>
      </w:r>
    </w:p>
    <w:p w14:paraId="04797C39" w14:textId="6B8C6996" w:rsidR="003D57FC" w:rsidRDefault="00602DAD" w:rsidP="00AC1FC6">
      <w:r>
        <w:t xml:space="preserve">The next generation of LEO </w:t>
      </w:r>
      <w:r w:rsidR="00470FBF">
        <w:t xml:space="preserve">satellites </w:t>
      </w:r>
      <w:r w:rsidR="00F57511">
        <w:t>“</w:t>
      </w:r>
      <w:r>
        <w:t>Gen2</w:t>
      </w:r>
      <w:r w:rsidR="00F57511">
        <w:t>”</w:t>
      </w:r>
      <w:r w:rsidR="00470FBF">
        <w:t>,</w:t>
      </w:r>
      <w:r>
        <w:t xml:space="preserve"> will be based on 5G NR </w:t>
      </w:r>
      <w:r w:rsidR="00B0113D">
        <w:t xml:space="preserve">NTN </w:t>
      </w:r>
      <w:r>
        <w:t>technology for communicating with the user terminals to enhance flexibility to manage service to customers in real-time, optimising capacity and performance. The Gen2 constellation is planned to be in commercial service by 2028; it will serve at least the same use cases as Gen1. Satellites will need to be launched and the system extensively tested prior to this date, hence there is now some urgency to progress the related standards work.</w:t>
      </w:r>
    </w:p>
    <w:p w14:paraId="7C71C365" w14:textId="44F4F576" w:rsidR="00485B04" w:rsidRPr="004D35BA" w:rsidRDefault="00E26FA0" w:rsidP="00AC1FC6">
      <w:pPr>
        <w:rPr>
          <w:b/>
          <w:bCs/>
        </w:rPr>
      </w:pPr>
      <w:r>
        <w:t xml:space="preserve">The </w:t>
      </w:r>
      <w:r w:rsidR="006E5D91">
        <w:t xml:space="preserve">almost complete </w:t>
      </w:r>
      <w:r>
        <w:t>R</w:t>
      </w:r>
      <w:r w:rsidR="0084669D">
        <w:t>el-</w:t>
      </w:r>
      <w:r>
        <w:t xml:space="preserve">18 specifications for NTN above 10 GHz cover </w:t>
      </w:r>
      <w:r w:rsidR="003637D4">
        <w:t xml:space="preserve">deployment </w:t>
      </w:r>
      <w:r>
        <w:t>requirements and use cases for the Ka band</w:t>
      </w:r>
      <w:r w:rsidR="003637D4">
        <w:t xml:space="preserve"> within the scope of the ITU-R following WRC-19</w:t>
      </w:r>
      <w:r w:rsidR="00EC301E">
        <w:t>.</w:t>
      </w:r>
      <w:r w:rsidR="0049014B">
        <w:t xml:space="preserve"> </w:t>
      </w:r>
    </w:p>
    <w:p w14:paraId="4F074F2D" w14:textId="32EC90FC" w:rsidR="00485B04" w:rsidRDefault="00485B04" w:rsidP="00AC1FC6">
      <w:r>
        <w:t>The following deployment scenarios are within the Release 18 scope:</w:t>
      </w:r>
    </w:p>
    <w:p w14:paraId="2A2378A7" w14:textId="7DE4CA6A" w:rsidR="00485B04" w:rsidRDefault="0099105D" w:rsidP="0088214A">
      <w:pPr>
        <w:pStyle w:val="ListParagraph"/>
        <w:numPr>
          <w:ilvl w:val="0"/>
          <w:numId w:val="1"/>
        </w:numPr>
      </w:pPr>
      <w:r>
        <w:t xml:space="preserve">Communication between </w:t>
      </w:r>
      <w:r w:rsidR="00485B04">
        <w:t xml:space="preserve">Fixed VSAT </w:t>
      </w:r>
      <w:r>
        <w:t xml:space="preserve">and </w:t>
      </w:r>
      <w:r w:rsidR="00485B04">
        <w:t>GSO</w:t>
      </w:r>
      <w:r>
        <w:t xml:space="preserve"> satellites</w:t>
      </w:r>
    </w:p>
    <w:p w14:paraId="323D036F" w14:textId="6253DA9C" w:rsidR="00485B04" w:rsidRDefault="0099105D" w:rsidP="0088214A">
      <w:pPr>
        <w:pStyle w:val="ListParagraph"/>
        <w:numPr>
          <w:ilvl w:val="0"/>
          <w:numId w:val="1"/>
        </w:numPr>
      </w:pPr>
      <w:r>
        <w:t xml:space="preserve">Communication between </w:t>
      </w:r>
      <w:r w:rsidR="00485B04">
        <w:t xml:space="preserve">Fixed VSAT </w:t>
      </w:r>
      <w:r>
        <w:t xml:space="preserve">and </w:t>
      </w:r>
      <w:r w:rsidR="00485B04">
        <w:t>NGSO</w:t>
      </w:r>
      <w:r>
        <w:t xml:space="preserve"> constellations</w:t>
      </w:r>
    </w:p>
    <w:p w14:paraId="7CD3A80C" w14:textId="135F4F70" w:rsidR="00485B04" w:rsidRDefault="0099105D" w:rsidP="0088214A">
      <w:pPr>
        <w:pStyle w:val="ListParagraph"/>
        <w:numPr>
          <w:ilvl w:val="0"/>
          <w:numId w:val="1"/>
        </w:numPr>
      </w:pPr>
      <w:r>
        <w:t xml:space="preserve">Communication between </w:t>
      </w:r>
      <w:r w:rsidR="00485B04">
        <w:t xml:space="preserve">Mobile VSAT </w:t>
      </w:r>
      <w:r>
        <w:t xml:space="preserve">and </w:t>
      </w:r>
      <w:r w:rsidR="00485B04">
        <w:t>GSO</w:t>
      </w:r>
      <w:r w:rsidRPr="0099105D">
        <w:t xml:space="preserve"> </w:t>
      </w:r>
      <w:r>
        <w:t>satellites</w:t>
      </w:r>
      <w:r w:rsidR="00485B04">
        <w:t>.</w:t>
      </w:r>
    </w:p>
    <w:p w14:paraId="034BD689" w14:textId="494AA614" w:rsidR="004D35BA" w:rsidRDefault="00485B04" w:rsidP="00AC1FC6">
      <w:r>
        <w:lastRenderedPageBreak/>
        <w:t>The RRM scope for the above scenarios were further detailed at RAN#101 in [</w:t>
      </w:r>
      <w:r w:rsidR="003637D4">
        <w:t>4</w:t>
      </w:r>
      <w:r>
        <w:t>].</w:t>
      </w:r>
    </w:p>
    <w:p w14:paraId="077785AC" w14:textId="2B20D360" w:rsidR="00485B04" w:rsidRPr="00C34585" w:rsidRDefault="00485B04" w:rsidP="00AC1FC6">
      <w:pPr>
        <w:rPr>
          <w:b/>
          <w:bCs/>
        </w:rPr>
      </w:pPr>
      <w:r w:rsidRPr="00175B70">
        <w:rPr>
          <w:b/>
          <w:bCs/>
        </w:rPr>
        <w:t xml:space="preserve">Observation 1: </w:t>
      </w:r>
      <w:r w:rsidR="00D930DD" w:rsidRPr="00C34585">
        <w:rPr>
          <w:b/>
          <w:bCs/>
        </w:rPr>
        <w:t xml:space="preserve">Support of </w:t>
      </w:r>
      <w:r w:rsidRPr="00C34585">
        <w:rPr>
          <w:b/>
          <w:bCs/>
        </w:rPr>
        <w:t>Mobile VSAT</w:t>
      </w:r>
      <w:r w:rsidR="003311A9" w:rsidRPr="00C34585">
        <w:rPr>
          <w:b/>
          <w:bCs/>
        </w:rPr>
        <w:t>s</w:t>
      </w:r>
      <w:r w:rsidRPr="00C34585">
        <w:rPr>
          <w:b/>
          <w:bCs/>
        </w:rPr>
        <w:t xml:space="preserve"> </w:t>
      </w:r>
      <w:r w:rsidR="00175B70" w:rsidRPr="00C34585">
        <w:rPr>
          <w:b/>
          <w:bCs/>
        </w:rPr>
        <w:t>in</w:t>
      </w:r>
      <w:r w:rsidR="00D930DD" w:rsidRPr="00C34585">
        <w:rPr>
          <w:b/>
          <w:bCs/>
        </w:rPr>
        <w:t xml:space="preserve"> </w:t>
      </w:r>
      <w:r w:rsidRPr="00C34585">
        <w:rPr>
          <w:b/>
          <w:bCs/>
        </w:rPr>
        <w:t xml:space="preserve">NGSO </w:t>
      </w:r>
      <w:r w:rsidR="0099105D" w:rsidRPr="00C34585">
        <w:rPr>
          <w:b/>
          <w:bCs/>
        </w:rPr>
        <w:t>constellation</w:t>
      </w:r>
      <w:r w:rsidR="00D462B0" w:rsidRPr="00C34585">
        <w:rPr>
          <w:b/>
          <w:bCs/>
        </w:rPr>
        <w:t>s</w:t>
      </w:r>
      <w:r w:rsidR="0099105D" w:rsidRPr="00C34585">
        <w:rPr>
          <w:b/>
          <w:bCs/>
        </w:rPr>
        <w:t xml:space="preserve"> </w:t>
      </w:r>
      <w:r w:rsidRPr="00C34585">
        <w:rPr>
          <w:b/>
          <w:bCs/>
        </w:rPr>
        <w:t>deployment scenario</w:t>
      </w:r>
      <w:r w:rsidR="00D462B0" w:rsidRPr="00C34585">
        <w:rPr>
          <w:b/>
          <w:bCs/>
        </w:rPr>
        <w:t>s</w:t>
      </w:r>
      <w:r w:rsidRPr="00C34585">
        <w:rPr>
          <w:b/>
          <w:bCs/>
        </w:rPr>
        <w:t xml:space="preserve"> is not</w:t>
      </w:r>
      <w:r w:rsidR="00EC301E" w:rsidRPr="00C34585">
        <w:rPr>
          <w:b/>
          <w:bCs/>
        </w:rPr>
        <w:t xml:space="preserve"> in the scope of Rel-18.</w:t>
      </w:r>
    </w:p>
    <w:p w14:paraId="5D074335" w14:textId="77777777" w:rsidR="007C3D2F" w:rsidRDefault="007C3D2F" w:rsidP="007F30B6">
      <w:r>
        <w:t xml:space="preserve">An overview of the WRC-23 outcomes with </w:t>
      </w:r>
      <w:proofErr w:type="gramStart"/>
      <w:r>
        <w:t>particular relevance</w:t>
      </w:r>
      <w:proofErr w:type="gramEnd"/>
      <w:r>
        <w:t xml:space="preserve"> to FR2-NTN is set out in [5]. </w:t>
      </w:r>
    </w:p>
    <w:p w14:paraId="3ED24106" w14:textId="7AC119CA" w:rsidR="005B6F94" w:rsidRPr="00791FBD" w:rsidRDefault="005B6F94" w:rsidP="007F30B6">
      <w:r w:rsidRPr="00791FBD">
        <w:t xml:space="preserve">Mobile VSAT </w:t>
      </w:r>
      <w:r w:rsidR="003637D4" w:rsidRPr="00791FBD">
        <w:t>operation with</w:t>
      </w:r>
      <w:r w:rsidR="00F57511" w:rsidRPr="00791FBD">
        <w:t xml:space="preserve"> NGSO </w:t>
      </w:r>
      <w:r w:rsidRPr="00791FBD">
        <w:t>(</w:t>
      </w:r>
      <w:r w:rsidR="00F57511" w:rsidRPr="00791FBD">
        <w:t>“n</w:t>
      </w:r>
      <w:r w:rsidRPr="00791FBD">
        <w:t xml:space="preserve">on-GSO </w:t>
      </w:r>
      <w:r w:rsidR="007F30B6" w:rsidRPr="00791FBD">
        <w:t>ESIM</w:t>
      </w:r>
      <w:r w:rsidR="00F57511" w:rsidRPr="00791FBD">
        <w:t>” in ITU-R terminology</w:t>
      </w:r>
      <w:r w:rsidRPr="00791FBD">
        <w:t>) was considered at</w:t>
      </w:r>
      <w:r w:rsidR="007F30B6" w:rsidRPr="00791FBD">
        <w:t xml:space="preserve"> WRC-23 under agenda item</w:t>
      </w:r>
      <w:r w:rsidR="002D15BD" w:rsidRPr="00791FBD">
        <w:t xml:space="preserve"> </w:t>
      </w:r>
      <w:r w:rsidR="007F30B6" w:rsidRPr="00791FBD">
        <w:t>1.16</w:t>
      </w:r>
      <w:r w:rsidRPr="00791FBD">
        <w:t xml:space="preserve">. Resolution COM5/3 (WRC-23) </w:t>
      </w:r>
      <w:r w:rsidRPr="00791FBD">
        <w:rPr>
          <w:i/>
          <w:iCs/>
        </w:rPr>
        <w:t xml:space="preserve">Use of the frequency bands 17.7-18.6 GHz, 18.8-19.3 </w:t>
      </w:r>
      <w:proofErr w:type="gramStart"/>
      <w:r w:rsidRPr="00791FBD">
        <w:rPr>
          <w:i/>
          <w:iCs/>
        </w:rPr>
        <w:t>GHz</w:t>
      </w:r>
      <w:proofErr w:type="gramEnd"/>
      <w:r w:rsidRPr="00791FBD">
        <w:rPr>
          <w:i/>
          <w:iCs/>
        </w:rPr>
        <w:t xml:space="preserve"> and 19.7-20.2 GHz (space-to-Earth) and 27.5-29.1 GHz and 29.5-30 GHz (Earth-to-space) by aeronautical and maritime earth stations in motion communicating with non-geostationary space stations in the fixed-satellite service</w:t>
      </w:r>
      <w:r w:rsidR="00F57511" w:rsidRPr="00791FBD">
        <w:rPr>
          <w:i/>
          <w:iCs/>
        </w:rPr>
        <w:t xml:space="preserve"> </w:t>
      </w:r>
      <w:r w:rsidR="00F57511" w:rsidRPr="00791FBD">
        <w:t>sets out the conditions where non-GSO ESIMs are now permitted to operate</w:t>
      </w:r>
      <w:r w:rsidRPr="00791FBD">
        <w:rPr>
          <w:i/>
          <w:iCs/>
        </w:rPr>
        <w:t xml:space="preserve"> </w:t>
      </w:r>
      <w:r w:rsidRPr="00791FBD">
        <w:t>[</w:t>
      </w:r>
      <w:r w:rsidR="003637D4" w:rsidRPr="00791FBD">
        <w:t>6</w:t>
      </w:r>
      <w:r w:rsidRPr="00791FBD">
        <w:t>]</w:t>
      </w:r>
      <w:r w:rsidR="0049014B" w:rsidRPr="00791FBD">
        <w:t>.</w:t>
      </w:r>
    </w:p>
    <w:p w14:paraId="0550576C" w14:textId="77777777" w:rsidR="0049014B" w:rsidRDefault="004D35BA" w:rsidP="00AC1FC6">
      <w:r w:rsidRPr="00791FBD">
        <w:t>WRC-23</w:t>
      </w:r>
      <w:r w:rsidR="005B6F94" w:rsidRPr="00791FBD">
        <w:t xml:space="preserve"> </w:t>
      </w:r>
      <w:r w:rsidRPr="00791FBD">
        <w:t>t</w:t>
      </w:r>
      <w:r w:rsidR="005B6F94" w:rsidRPr="00791FBD">
        <w:t>herefore now</w:t>
      </w:r>
      <w:r w:rsidRPr="00791FBD">
        <w:t xml:space="preserve"> permit</w:t>
      </w:r>
      <w:r w:rsidR="005B6F94" w:rsidRPr="00791FBD">
        <w:t>s</w:t>
      </w:r>
      <w:r w:rsidRPr="00791FBD">
        <w:t xml:space="preserve"> Mobile </w:t>
      </w:r>
      <w:r w:rsidR="005B6F94" w:rsidRPr="00791FBD">
        <w:t xml:space="preserve">VSAT </w:t>
      </w:r>
      <w:r w:rsidR="0049014B" w:rsidRPr="00791FBD">
        <w:t>operation with N</w:t>
      </w:r>
      <w:r w:rsidRPr="00791FBD">
        <w:t>GSO</w:t>
      </w:r>
      <w:r w:rsidR="0049014B" w:rsidRPr="00791FBD">
        <w:t xml:space="preserve"> constellations.</w:t>
      </w:r>
      <w:r>
        <w:t xml:space="preserve"> </w:t>
      </w:r>
    </w:p>
    <w:p w14:paraId="62768ADD" w14:textId="496D8888" w:rsidR="005B6F94" w:rsidRDefault="00016E77" w:rsidP="00AC1FC6">
      <w:r>
        <w:t xml:space="preserve">Furthermore, in [7], a joint contribution </w:t>
      </w:r>
      <w:r w:rsidRPr="0088214A">
        <w:t>by ZTE Corporation, Thales, Samsung, Ericsson, Huawei at RAN4#109</w:t>
      </w:r>
      <w:r>
        <w:t xml:space="preserve">, it was noted that </w:t>
      </w:r>
      <w:r w:rsidRPr="0088214A">
        <w:t>"</w:t>
      </w:r>
      <w:r w:rsidRPr="008336B9">
        <w:rPr>
          <w:i/>
          <w:iCs/>
        </w:rPr>
        <w:t>Mobile VSAT in the LEO</w:t>
      </w:r>
      <w:r w:rsidR="00FE4CE6" w:rsidRPr="008336B9">
        <w:rPr>
          <w:i/>
          <w:iCs/>
        </w:rPr>
        <w:t xml:space="preserve"> </w:t>
      </w:r>
      <w:r w:rsidRPr="008336B9">
        <w:rPr>
          <w:i/>
          <w:iCs/>
        </w:rPr>
        <w:t>is not precluded in the future release and we need to further discuss with operators</w:t>
      </w:r>
      <w:r w:rsidRPr="0088214A">
        <w:t>"</w:t>
      </w:r>
      <w:r>
        <w:t>.</w:t>
      </w:r>
      <w:r w:rsidR="00FE4CE6">
        <w:t xml:space="preserve"> </w:t>
      </w:r>
    </w:p>
    <w:p w14:paraId="355738EE" w14:textId="5E636123" w:rsidR="00016E77" w:rsidRDefault="00FE4CE6" w:rsidP="00AC1FC6">
      <w:r w:rsidRPr="00FE4CE6">
        <w:t xml:space="preserve">The objections raised </w:t>
      </w:r>
      <w:r w:rsidR="00280B29">
        <w:t>against</w:t>
      </w:r>
      <w:r w:rsidRPr="00FE4CE6">
        <w:t xml:space="preserve"> including</w:t>
      </w:r>
      <w:r w:rsidR="00280B29">
        <w:t xml:space="preserve"> support for</w:t>
      </w:r>
      <w:r w:rsidRPr="00FE4CE6">
        <w:t xml:space="preserve"> this</w:t>
      </w:r>
      <w:r>
        <w:t xml:space="preserve"> combination</w:t>
      </w:r>
      <w:r w:rsidRPr="00FE4CE6">
        <w:t xml:space="preserve"> at RAN#94-e </w:t>
      </w:r>
      <w:r w:rsidR="005B6F94">
        <w:t>no longer apply and</w:t>
      </w:r>
      <w:r w:rsidR="00280B29">
        <w:t xml:space="preserve">, therefore, </w:t>
      </w:r>
      <w:r w:rsidR="005B6F94">
        <w:t>conclusions drawn</w:t>
      </w:r>
      <w:r w:rsidR="000A117D">
        <w:t xml:space="preserve"> for Rel-18,</w:t>
      </w:r>
      <w:r w:rsidR="005B6F94">
        <w:t xml:space="preserve"> based on the objections</w:t>
      </w:r>
      <w:r w:rsidR="000A117D">
        <w:t>,</w:t>
      </w:r>
      <w:r w:rsidR="005B6F94">
        <w:t xml:space="preserve"> need </w:t>
      </w:r>
      <w:r w:rsidRPr="00FE4CE6">
        <w:t>to be revisited [8]</w:t>
      </w:r>
      <w:r w:rsidR="005929BB">
        <w:t>, [9]</w:t>
      </w:r>
      <w:r w:rsidRPr="00FE4CE6">
        <w:t>.</w:t>
      </w:r>
    </w:p>
    <w:p w14:paraId="793D0E06" w14:textId="2559CF43" w:rsidR="004D35BA" w:rsidRPr="00C34585" w:rsidRDefault="004D35BA" w:rsidP="00AC1FC6">
      <w:pPr>
        <w:rPr>
          <w:b/>
          <w:bCs/>
        </w:rPr>
      </w:pPr>
      <w:r w:rsidRPr="00F96FE1">
        <w:rPr>
          <w:b/>
          <w:bCs/>
        </w:rPr>
        <w:t>Observation 2</w:t>
      </w:r>
      <w:r w:rsidRPr="00C34585">
        <w:rPr>
          <w:b/>
          <w:bCs/>
        </w:rPr>
        <w:t>: The rationale for not including Mobile VSAT</w:t>
      </w:r>
      <w:r w:rsidR="003311A9">
        <w:rPr>
          <w:b/>
          <w:bCs/>
        </w:rPr>
        <w:t>s</w:t>
      </w:r>
      <w:r w:rsidRPr="00C34585">
        <w:rPr>
          <w:b/>
          <w:bCs/>
        </w:rPr>
        <w:t xml:space="preserve"> </w:t>
      </w:r>
      <w:r w:rsidR="00D930DD">
        <w:rPr>
          <w:b/>
          <w:bCs/>
        </w:rPr>
        <w:t xml:space="preserve">support by </w:t>
      </w:r>
      <w:r w:rsidRPr="00C34585">
        <w:rPr>
          <w:b/>
          <w:bCs/>
        </w:rPr>
        <w:t xml:space="preserve">NGSO </w:t>
      </w:r>
      <w:r w:rsidR="00D930DD">
        <w:rPr>
          <w:b/>
          <w:bCs/>
        </w:rPr>
        <w:t xml:space="preserve">constellations </w:t>
      </w:r>
      <w:r w:rsidRPr="00C34585">
        <w:rPr>
          <w:b/>
          <w:bCs/>
        </w:rPr>
        <w:t>in Rel-18 is now no longer applicable post WRC-23.</w:t>
      </w:r>
    </w:p>
    <w:p w14:paraId="5FB2ED2E" w14:textId="4DEDCB91" w:rsidR="00404521" w:rsidRDefault="00571DC4" w:rsidP="00AC1FC6">
      <w:proofErr w:type="gramStart"/>
      <w:r>
        <w:t>In order to</w:t>
      </w:r>
      <w:proofErr w:type="gramEnd"/>
      <w:r>
        <w:t xml:space="preserve"> support the full </w:t>
      </w:r>
      <w:r w:rsidR="00404521">
        <w:t>capabilities of GEO and NGS</w:t>
      </w:r>
      <w:r w:rsidR="00E26FA0">
        <w:t>O</w:t>
      </w:r>
      <w:r w:rsidR="00404521">
        <w:t xml:space="preserve"> networks</w:t>
      </w:r>
      <w:r w:rsidR="00CD79C3">
        <w:t>,</w:t>
      </w:r>
      <w:r w:rsidR="00404521">
        <w:t xml:space="preserve"> </w:t>
      </w:r>
      <w:r>
        <w:t xml:space="preserve">the </w:t>
      </w:r>
      <w:r w:rsidR="00404521">
        <w:t xml:space="preserve">3GPP </w:t>
      </w:r>
      <w:r>
        <w:t xml:space="preserve">specifications </w:t>
      </w:r>
      <w:r w:rsidR="00404521">
        <w:t xml:space="preserve">for ‘NTN </w:t>
      </w:r>
      <w:r w:rsidR="006E5D91">
        <w:t xml:space="preserve">in bands </w:t>
      </w:r>
      <w:r>
        <w:t>above 10 GHz</w:t>
      </w:r>
      <w:r w:rsidR="00404521">
        <w:t>’</w:t>
      </w:r>
      <w:r>
        <w:t xml:space="preserve"> will need to be further enhanced</w:t>
      </w:r>
      <w:r w:rsidR="00404521">
        <w:t xml:space="preserve"> in R</w:t>
      </w:r>
      <w:r w:rsidR="00CD79C3">
        <w:t>el-</w:t>
      </w:r>
      <w:r w:rsidR="00404521">
        <w:t>19</w:t>
      </w:r>
      <w:r>
        <w:t xml:space="preserve">. </w:t>
      </w:r>
    </w:p>
    <w:p w14:paraId="45EE6D59" w14:textId="78A5068B" w:rsidR="00EC301E" w:rsidRPr="00C34585" w:rsidRDefault="0033585E" w:rsidP="00AC1FC6">
      <w:bookmarkStart w:id="1" w:name="_Hlk157004246"/>
      <w:r w:rsidRPr="00F96FE1">
        <w:rPr>
          <w:b/>
          <w:bCs/>
        </w:rPr>
        <w:t>Proposal</w:t>
      </w:r>
      <w:r w:rsidR="00EC301E" w:rsidRPr="00C34585">
        <w:rPr>
          <w:b/>
          <w:bCs/>
        </w:rPr>
        <w:t xml:space="preserve">: </w:t>
      </w:r>
      <w:r w:rsidR="0088214A" w:rsidRPr="00C34585">
        <w:rPr>
          <w:b/>
          <w:bCs/>
        </w:rPr>
        <w:t>Mobile VSAT</w:t>
      </w:r>
      <w:r w:rsidR="003311A9">
        <w:rPr>
          <w:b/>
          <w:bCs/>
        </w:rPr>
        <w:t>s</w:t>
      </w:r>
      <w:r w:rsidR="0088214A" w:rsidRPr="00C34585">
        <w:rPr>
          <w:b/>
          <w:bCs/>
        </w:rPr>
        <w:t xml:space="preserve"> </w:t>
      </w:r>
      <w:r w:rsidR="003311A9">
        <w:rPr>
          <w:b/>
          <w:bCs/>
        </w:rPr>
        <w:t>support</w:t>
      </w:r>
      <w:r w:rsidR="00F96FE1">
        <w:rPr>
          <w:b/>
          <w:bCs/>
        </w:rPr>
        <w:t xml:space="preserve"> </w:t>
      </w:r>
      <w:r w:rsidR="00D462B0">
        <w:rPr>
          <w:b/>
          <w:bCs/>
        </w:rPr>
        <w:t xml:space="preserve">by </w:t>
      </w:r>
      <w:r w:rsidR="0088214A" w:rsidRPr="00C34585">
        <w:rPr>
          <w:b/>
          <w:bCs/>
        </w:rPr>
        <w:t xml:space="preserve">NGSO </w:t>
      </w:r>
      <w:r w:rsidR="00F96FE1">
        <w:rPr>
          <w:b/>
          <w:bCs/>
        </w:rPr>
        <w:t xml:space="preserve">constellations </w:t>
      </w:r>
      <w:r w:rsidR="0088214A" w:rsidRPr="00C34585">
        <w:rPr>
          <w:b/>
          <w:bCs/>
        </w:rPr>
        <w:t xml:space="preserve">is a commercially important use case and </w:t>
      </w:r>
      <w:r w:rsidR="00F96FE1">
        <w:rPr>
          <w:b/>
          <w:bCs/>
        </w:rPr>
        <w:t xml:space="preserve">shall </w:t>
      </w:r>
      <w:r w:rsidR="0088214A" w:rsidRPr="00C34585">
        <w:rPr>
          <w:b/>
          <w:bCs/>
        </w:rPr>
        <w:t xml:space="preserve">be standardized in Rel-19. </w:t>
      </w:r>
    </w:p>
    <w:bookmarkEnd w:id="1"/>
    <w:p w14:paraId="1FC9F080" w14:textId="77777777" w:rsidR="00EC1156" w:rsidRPr="00EC1156" w:rsidRDefault="00EC1156" w:rsidP="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eastAsia="ja-JP"/>
          <w14:ligatures w14:val="none"/>
        </w:rPr>
      </w:pPr>
      <w:r w:rsidRPr="00EC1156">
        <w:rPr>
          <w:rFonts w:ascii="Arial" w:eastAsia="Times New Roman" w:hAnsi="Arial" w:cs="Times New Roman"/>
          <w:kern w:val="0"/>
          <w:sz w:val="36"/>
          <w:szCs w:val="20"/>
          <w:lang w:eastAsia="ja-JP"/>
          <w14:ligatures w14:val="none"/>
        </w:rPr>
        <w:t>3</w:t>
      </w:r>
      <w:r w:rsidRPr="00EC1156">
        <w:rPr>
          <w:rFonts w:ascii="Arial" w:eastAsia="Times New Roman" w:hAnsi="Arial" w:cs="Times New Roman"/>
          <w:kern w:val="0"/>
          <w:sz w:val="36"/>
          <w:szCs w:val="20"/>
          <w:lang w:eastAsia="ja-JP"/>
          <w14:ligatures w14:val="none"/>
        </w:rPr>
        <w:tab/>
        <w:t>Conclusion</w:t>
      </w:r>
    </w:p>
    <w:p w14:paraId="42EFE5D1" w14:textId="0545E26F" w:rsidR="004D35BA" w:rsidRDefault="00896C98" w:rsidP="00AC1FC6">
      <w:r>
        <w:t xml:space="preserve">Future systems using NTN </w:t>
      </w:r>
      <w:r w:rsidR="006E5D91">
        <w:t xml:space="preserve">in bands </w:t>
      </w:r>
      <w:r>
        <w:t xml:space="preserve">above 10 GHz are already under consideration and technical development </w:t>
      </w:r>
      <w:r w:rsidR="00753897">
        <w:t xml:space="preserve">is </w:t>
      </w:r>
      <w:r>
        <w:t>target</w:t>
      </w:r>
      <w:r w:rsidR="006A1F9E">
        <w:t>ing</w:t>
      </w:r>
      <w:r>
        <w:t xml:space="preserve"> commercial deployment </w:t>
      </w:r>
      <w:r w:rsidR="006A1F9E">
        <w:t>with</w:t>
      </w:r>
      <w:r>
        <w:t>in the next few years (</w:t>
      </w:r>
      <w:r w:rsidR="006A1F9E">
        <w:t xml:space="preserve">by </w:t>
      </w:r>
      <w:r>
        <w:t>2028). 3GPP should prioritize the commercially essential features in R</w:t>
      </w:r>
      <w:r w:rsidR="006A1F9E">
        <w:t>el-</w:t>
      </w:r>
      <w:r>
        <w:t>19</w:t>
      </w:r>
      <w:r w:rsidR="009C3D68">
        <w:t xml:space="preserve">, including the support of mobile VSAT devices </w:t>
      </w:r>
      <w:r w:rsidR="00C34585">
        <w:t xml:space="preserve">in </w:t>
      </w:r>
      <w:r w:rsidR="003311A9">
        <w:t xml:space="preserve">communication </w:t>
      </w:r>
      <w:r w:rsidR="00C34585">
        <w:t>with</w:t>
      </w:r>
      <w:r w:rsidR="003311A9">
        <w:t xml:space="preserve"> </w:t>
      </w:r>
      <w:r w:rsidR="009C3D68">
        <w:t>NGSO</w:t>
      </w:r>
      <w:r w:rsidR="003311A9">
        <w:t xml:space="preserve"> </w:t>
      </w:r>
      <w:r w:rsidR="003311A9" w:rsidRPr="003311A9">
        <w:t>constellations</w:t>
      </w:r>
      <w:r>
        <w:t xml:space="preserve">. </w:t>
      </w:r>
    </w:p>
    <w:p w14:paraId="0D094C7B" w14:textId="77777777" w:rsidR="00F96FE1" w:rsidRPr="00F96FE1" w:rsidRDefault="00F96FE1" w:rsidP="00F96FE1">
      <w:r w:rsidRPr="00F96FE1">
        <w:t>The following observations and proposal are made:</w:t>
      </w:r>
    </w:p>
    <w:p w14:paraId="213D2523" w14:textId="57E34A31" w:rsidR="00D462B0" w:rsidRPr="006E0497" w:rsidRDefault="00D462B0" w:rsidP="00D462B0">
      <w:pPr>
        <w:rPr>
          <w:b/>
          <w:bCs/>
        </w:rPr>
      </w:pPr>
      <w:r w:rsidRPr="00175B70">
        <w:rPr>
          <w:b/>
          <w:bCs/>
        </w:rPr>
        <w:t xml:space="preserve">Observation 1: </w:t>
      </w:r>
      <w:r>
        <w:rPr>
          <w:b/>
          <w:bCs/>
        </w:rPr>
        <w:t xml:space="preserve">Support of </w:t>
      </w:r>
      <w:r w:rsidRPr="006E0497">
        <w:rPr>
          <w:b/>
          <w:bCs/>
        </w:rPr>
        <w:t>Mobile VSAT</w:t>
      </w:r>
      <w:r>
        <w:rPr>
          <w:b/>
          <w:bCs/>
        </w:rPr>
        <w:t>s</w:t>
      </w:r>
      <w:r w:rsidRPr="006E0497">
        <w:rPr>
          <w:b/>
          <w:bCs/>
        </w:rPr>
        <w:t xml:space="preserve"> </w:t>
      </w:r>
      <w:r>
        <w:rPr>
          <w:b/>
          <w:bCs/>
        </w:rPr>
        <w:t xml:space="preserve">in </w:t>
      </w:r>
      <w:r w:rsidRPr="006E0497">
        <w:rPr>
          <w:b/>
          <w:bCs/>
        </w:rPr>
        <w:t>NGSO constellation</w:t>
      </w:r>
      <w:r>
        <w:rPr>
          <w:b/>
          <w:bCs/>
        </w:rPr>
        <w:t>s</w:t>
      </w:r>
      <w:r w:rsidRPr="006E0497">
        <w:rPr>
          <w:b/>
          <w:bCs/>
        </w:rPr>
        <w:t xml:space="preserve"> deployment scenario</w:t>
      </w:r>
      <w:r>
        <w:rPr>
          <w:b/>
          <w:bCs/>
        </w:rPr>
        <w:t>s</w:t>
      </w:r>
      <w:r w:rsidRPr="006E0497">
        <w:rPr>
          <w:b/>
          <w:bCs/>
        </w:rPr>
        <w:t xml:space="preserve"> is not in the scope of Rel-18. </w:t>
      </w:r>
    </w:p>
    <w:p w14:paraId="604E7A85" w14:textId="77777777" w:rsidR="00D462B0" w:rsidRPr="006E0497" w:rsidRDefault="00D462B0" w:rsidP="00D462B0">
      <w:pPr>
        <w:rPr>
          <w:b/>
          <w:bCs/>
        </w:rPr>
      </w:pPr>
      <w:r w:rsidRPr="00F96FE1">
        <w:rPr>
          <w:b/>
          <w:bCs/>
        </w:rPr>
        <w:t>Observation 2</w:t>
      </w:r>
      <w:r w:rsidRPr="006E0497">
        <w:rPr>
          <w:b/>
          <w:bCs/>
        </w:rPr>
        <w:t>: The rationale for not including Mobile VSAT</w:t>
      </w:r>
      <w:r>
        <w:rPr>
          <w:b/>
          <w:bCs/>
        </w:rPr>
        <w:t>s</w:t>
      </w:r>
      <w:r w:rsidRPr="006E0497">
        <w:rPr>
          <w:b/>
          <w:bCs/>
        </w:rPr>
        <w:t xml:space="preserve"> </w:t>
      </w:r>
      <w:r>
        <w:rPr>
          <w:b/>
          <w:bCs/>
        </w:rPr>
        <w:t xml:space="preserve">support by </w:t>
      </w:r>
      <w:r w:rsidRPr="006E0497">
        <w:rPr>
          <w:b/>
          <w:bCs/>
        </w:rPr>
        <w:t xml:space="preserve">NGSO </w:t>
      </w:r>
      <w:r>
        <w:rPr>
          <w:b/>
          <w:bCs/>
        </w:rPr>
        <w:t xml:space="preserve">constellations </w:t>
      </w:r>
      <w:r w:rsidRPr="006E0497">
        <w:rPr>
          <w:b/>
          <w:bCs/>
        </w:rPr>
        <w:t>in Rel-18 is now no longer applicable post WRC-23.</w:t>
      </w:r>
    </w:p>
    <w:p w14:paraId="53844A10" w14:textId="06863FFC" w:rsidR="00D462B0" w:rsidRPr="006E0497" w:rsidRDefault="00D462B0" w:rsidP="00D462B0">
      <w:pPr>
        <w:rPr>
          <w:b/>
          <w:bCs/>
        </w:rPr>
      </w:pPr>
      <w:r w:rsidRPr="00F96FE1">
        <w:rPr>
          <w:b/>
          <w:bCs/>
        </w:rPr>
        <w:t>Proposal</w:t>
      </w:r>
      <w:r w:rsidRPr="006E0497">
        <w:rPr>
          <w:b/>
          <w:bCs/>
        </w:rPr>
        <w:t>: Mobile VSAT</w:t>
      </w:r>
      <w:r>
        <w:rPr>
          <w:b/>
          <w:bCs/>
        </w:rPr>
        <w:t>s</w:t>
      </w:r>
      <w:r w:rsidRPr="006E0497">
        <w:rPr>
          <w:b/>
          <w:bCs/>
        </w:rPr>
        <w:t xml:space="preserve"> </w:t>
      </w:r>
      <w:r>
        <w:rPr>
          <w:b/>
          <w:bCs/>
        </w:rPr>
        <w:t xml:space="preserve">support by </w:t>
      </w:r>
      <w:r w:rsidRPr="006E0497">
        <w:rPr>
          <w:b/>
          <w:bCs/>
        </w:rPr>
        <w:t xml:space="preserve">NGSO </w:t>
      </w:r>
      <w:r>
        <w:rPr>
          <w:b/>
          <w:bCs/>
        </w:rPr>
        <w:t xml:space="preserve">constellations </w:t>
      </w:r>
      <w:r w:rsidRPr="006E0497">
        <w:rPr>
          <w:b/>
          <w:bCs/>
        </w:rPr>
        <w:t xml:space="preserve">is a commercially important use case and </w:t>
      </w:r>
      <w:r>
        <w:rPr>
          <w:b/>
          <w:bCs/>
        </w:rPr>
        <w:t xml:space="preserve">shall </w:t>
      </w:r>
      <w:r w:rsidRPr="006E0497">
        <w:rPr>
          <w:b/>
          <w:bCs/>
        </w:rPr>
        <w:t xml:space="preserve">be standardized in Rel-19. </w:t>
      </w:r>
    </w:p>
    <w:p w14:paraId="6B0446C1" w14:textId="27E8AEFA" w:rsidR="004D35BA" w:rsidRDefault="004D35BA" w:rsidP="00AC1FC6"/>
    <w:p w14:paraId="6B9D0A50" w14:textId="0E9052CE" w:rsidR="00404521" w:rsidRPr="00EC1156" w:rsidRDefault="00EC1156" w:rsidP="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eastAsia="ja-JP"/>
          <w14:ligatures w14:val="none"/>
        </w:rPr>
      </w:pPr>
      <w:r>
        <w:rPr>
          <w:rFonts w:ascii="Arial" w:eastAsia="Times New Roman" w:hAnsi="Arial" w:cs="Times New Roman"/>
          <w:kern w:val="0"/>
          <w:sz w:val="36"/>
          <w:szCs w:val="20"/>
          <w:lang w:eastAsia="ja-JP"/>
          <w14:ligatures w14:val="none"/>
        </w:rPr>
        <w:lastRenderedPageBreak/>
        <w:t>4</w:t>
      </w:r>
      <w:r w:rsidRPr="00EC1156">
        <w:rPr>
          <w:rFonts w:ascii="Arial" w:eastAsia="Times New Roman" w:hAnsi="Arial" w:cs="Times New Roman"/>
          <w:kern w:val="0"/>
          <w:sz w:val="36"/>
          <w:szCs w:val="20"/>
          <w:lang w:eastAsia="ja-JP"/>
          <w14:ligatures w14:val="none"/>
        </w:rPr>
        <w:tab/>
      </w:r>
      <w:r>
        <w:rPr>
          <w:rFonts w:ascii="Arial" w:eastAsia="Times New Roman" w:hAnsi="Arial" w:cs="Times New Roman"/>
          <w:kern w:val="0"/>
          <w:sz w:val="36"/>
          <w:szCs w:val="20"/>
          <w:lang w:eastAsia="ja-JP"/>
          <w14:ligatures w14:val="none"/>
        </w:rPr>
        <w:t>References</w:t>
      </w:r>
    </w:p>
    <w:p w14:paraId="2FA6AD17" w14:textId="7CCD6973" w:rsidR="00AC1FC6" w:rsidRDefault="00AC1FC6" w:rsidP="004220EC">
      <w:r>
        <w:t xml:space="preserve">[1] RP-232732 </w:t>
      </w:r>
      <w:r w:rsidRPr="00AC1FC6">
        <w:t>3GPP NTN Based Satellite Networks-Deployment Considerations</w:t>
      </w:r>
      <w:r w:rsidR="006A1F9E">
        <w:t xml:space="preserve"> (</w:t>
      </w:r>
      <w:r w:rsidR="004220EC">
        <w:t>GSOA</w:t>
      </w:r>
      <w:r w:rsidR="003A08FB">
        <w:t>,</w:t>
      </w:r>
      <w:r w:rsidR="004220EC">
        <w:t xml:space="preserve"> RAN#102</w:t>
      </w:r>
      <w:r w:rsidR="00D52178">
        <w:t>,</w:t>
      </w:r>
      <w:r w:rsidR="004220EC">
        <w:t xml:space="preserve"> </w:t>
      </w:r>
      <w:bookmarkStart w:id="2" w:name="_Hlk158936640"/>
      <w:r w:rsidR="004220EC">
        <w:t>Edinburgh</w:t>
      </w:r>
      <w:bookmarkEnd w:id="2"/>
      <w:r w:rsidR="006A1F9E">
        <w:t>)</w:t>
      </w:r>
    </w:p>
    <w:p w14:paraId="1C3E45CD" w14:textId="59DED133" w:rsidR="00485B04" w:rsidRDefault="0085650C" w:rsidP="004220EC">
      <w:r>
        <w:t xml:space="preserve">[2] </w:t>
      </w:r>
      <w:r w:rsidR="00485B04">
        <w:t xml:space="preserve">RP-233789 </w:t>
      </w:r>
      <w:r w:rsidR="00485B04" w:rsidRPr="00485B04">
        <w:t>Motivation to Support Ku Band Deployment Scenarios</w:t>
      </w:r>
      <w:r w:rsidR="00485B04">
        <w:t xml:space="preserve"> (Eutelsat Group, RAN#102</w:t>
      </w:r>
      <w:r w:rsidR="003A08FB">
        <w:t>,</w:t>
      </w:r>
      <w:r w:rsidR="00485B04">
        <w:t xml:space="preserve"> Edinburgh)</w:t>
      </w:r>
    </w:p>
    <w:p w14:paraId="6EDDA709" w14:textId="6A6F0984" w:rsidR="00291321" w:rsidRDefault="00485B04" w:rsidP="00AC1FC6">
      <w:r>
        <w:t xml:space="preserve">[3] </w:t>
      </w:r>
      <w:r w:rsidR="0085650C">
        <w:t xml:space="preserve">See </w:t>
      </w:r>
      <w:hyperlink r:id="rId9" w:history="1">
        <w:r w:rsidR="0085650C" w:rsidRPr="00F8191A">
          <w:rPr>
            <w:rStyle w:val="Hyperlink"/>
          </w:rPr>
          <w:t>https://oneweb.net/our-network</w:t>
        </w:r>
      </w:hyperlink>
      <w:r w:rsidR="0085650C">
        <w:t xml:space="preserve"> for </w:t>
      </w:r>
      <w:r w:rsidR="007E647E">
        <w:t xml:space="preserve">further </w:t>
      </w:r>
      <w:proofErr w:type="gramStart"/>
      <w:r w:rsidR="0085650C">
        <w:t>details</w:t>
      </w:r>
      <w:proofErr w:type="gramEnd"/>
    </w:p>
    <w:p w14:paraId="2171FDD8" w14:textId="2CA08623" w:rsidR="004E6051" w:rsidRDefault="004E6051" w:rsidP="00AC1FC6">
      <w:r>
        <w:t>[</w:t>
      </w:r>
      <w:r w:rsidR="003637D4">
        <w:t>4</w:t>
      </w:r>
      <w:r>
        <w:t xml:space="preserve">] </w:t>
      </w:r>
      <w:r w:rsidRPr="004E6051">
        <w:t xml:space="preserve">RP-232669 NR NTN (Non-Terrestrial Networks) enhancements </w:t>
      </w:r>
      <w:r w:rsidR="00C44339">
        <w:t xml:space="preserve">- </w:t>
      </w:r>
      <w:r w:rsidRPr="004E6051">
        <w:t>Rel-18 WID</w:t>
      </w:r>
      <w:r w:rsidR="00C44339">
        <w:t xml:space="preserve"> (Thales, </w:t>
      </w:r>
      <w:r w:rsidRPr="004E6051">
        <w:t>RAN#101</w:t>
      </w:r>
      <w:r w:rsidR="003A08FB">
        <w:t>,</w:t>
      </w:r>
      <w:r w:rsidRPr="004E6051">
        <w:t xml:space="preserve"> Bangalore)</w:t>
      </w:r>
    </w:p>
    <w:p w14:paraId="762D753E" w14:textId="6F53519E" w:rsidR="004D35BA" w:rsidRDefault="004D35BA" w:rsidP="00AC1FC6">
      <w:r>
        <w:t>[</w:t>
      </w:r>
      <w:r w:rsidR="003637D4">
        <w:t>5</w:t>
      </w:r>
      <w:r>
        <w:t xml:space="preserve">] </w:t>
      </w:r>
      <w:r w:rsidR="00706E20" w:rsidRPr="00706E20">
        <w:t xml:space="preserve">R4-2400516 Regulatory status of NTN in bands above 10 GHz post WRC-23 </w:t>
      </w:r>
      <w:r w:rsidR="003A08FB">
        <w:t>(</w:t>
      </w:r>
      <w:r w:rsidR="00706E20" w:rsidRPr="00706E20">
        <w:t>Eutelsat Group, RAN4#110</w:t>
      </w:r>
      <w:r w:rsidR="003A08FB">
        <w:t>,</w:t>
      </w:r>
      <w:r w:rsidR="00706E20" w:rsidRPr="00706E20">
        <w:t xml:space="preserve"> Athens</w:t>
      </w:r>
      <w:r w:rsidR="003A08FB">
        <w:t>)</w:t>
      </w:r>
    </w:p>
    <w:p w14:paraId="4E199E7A" w14:textId="32E015C5" w:rsidR="003637D4" w:rsidRDefault="0088214A" w:rsidP="00AC1FC6">
      <w:r>
        <w:t>[</w:t>
      </w:r>
      <w:r w:rsidR="003637D4">
        <w:t>6</w:t>
      </w:r>
      <w:r>
        <w:t xml:space="preserve">] </w:t>
      </w:r>
      <w:r w:rsidR="00D52178">
        <w:t>World Radiocommunication Conference 2023 (WRC-23) Provisional Final Acts (ITU WRC, Dubai 2023)</w:t>
      </w:r>
    </w:p>
    <w:p w14:paraId="44B9C298" w14:textId="11E6B297" w:rsidR="0088214A" w:rsidRDefault="003637D4" w:rsidP="00AC1FC6">
      <w:r>
        <w:t xml:space="preserve">[7] </w:t>
      </w:r>
      <w:r w:rsidR="0088214A" w:rsidRPr="0088214A">
        <w:t>R4-2318145 Joint contribution for NTN VSAT RF requirements in Ka-band</w:t>
      </w:r>
      <w:r w:rsidR="0088214A">
        <w:t xml:space="preserve"> (</w:t>
      </w:r>
      <w:r w:rsidR="0088214A" w:rsidRPr="0088214A">
        <w:t>ZTE Corporation, Thales, Samsung, Ericsson, Huawei</w:t>
      </w:r>
      <w:r w:rsidR="0088214A">
        <w:t>,</w:t>
      </w:r>
      <w:r w:rsidR="0088214A" w:rsidRPr="0088214A">
        <w:t xml:space="preserve"> RAN4#109</w:t>
      </w:r>
      <w:r w:rsidR="003A08FB">
        <w:t xml:space="preserve">, </w:t>
      </w:r>
      <w:r w:rsidR="0088214A" w:rsidRPr="0088214A">
        <w:t>Chicago</w:t>
      </w:r>
      <w:r w:rsidR="0088214A">
        <w:t>)</w:t>
      </w:r>
    </w:p>
    <w:p w14:paraId="1CDA8755" w14:textId="3F57B7DC" w:rsidR="00FE4CE6" w:rsidRDefault="00FE4CE6" w:rsidP="00AC1FC6">
      <w:r>
        <w:t xml:space="preserve">[8] </w:t>
      </w:r>
      <w:r w:rsidRPr="00FE4CE6">
        <w:t xml:space="preserve">RP-213680 Moderator's summary </w:t>
      </w:r>
      <w:r w:rsidR="00C44339">
        <w:t>for</w:t>
      </w:r>
      <w:r w:rsidRPr="00FE4CE6">
        <w:t xml:space="preserve"> discussion [94e-17-R18-NTN-NR]</w:t>
      </w:r>
      <w:r w:rsidR="00791FBD">
        <w:t xml:space="preserve"> (</w:t>
      </w:r>
      <w:r w:rsidRPr="00FE4CE6">
        <w:t>RAN#94-e</w:t>
      </w:r>
      <w:r w:rsidR="00791FBD">
        <w:t>)</w:t>
      </w:r>
    </w:p>
    <w:p w14:paraId="18FFD5B2" w14:textId="33F804F6" w:rsidR="005929BB" w:rsidRDefault="005929BB" w:rsidP="005929BB">
      <w:r>
        <w:t xml:space="preserve">[9] </w:t>
      </w:r>
      <w:r w:rsidR="00A1131C">
        <w:t xml:space="preserve">RP-213522 DRAFT </w:t>
      </w:r>
      <w:r w:rsidRPr="005929BB">
        <w:t>New WI: NR NTN (Non-Terrestrial Networks) enhancements</w:t>
      </w:r>
      <w:r w:rsidR="00DF16D9">
        <w:t xml:space="preserve"> (</w:t>
      </w:r>
      <w:r w:rsidRPr="005929BB">
        <w:t>AT&amp;T, Thales</w:t>
      </w:r>
      <w:r w:rsidR="00DF16D9">
        <w:t>,</w:t>
      </w:r>
      <w:r w:rsidRPr="005929BB">
        <w:t xml:space="preserve"> </w:t>
      </w:r>
      <w:r>
        <w:t>RAN#94-e</w:t>
      </w:r>
      <w:r w:rsidR="00791FBD">
        <w:t>)</w:t>
      </w:r>
    </w:p>
    <w:p w14:paraId="51DED794" w14:textId="497D49F4" w:rsidR="005B6F94" w:rsidRDefault="005B6F94" w:rsidP="005B6F94"/>
    <w:sectPr w:rsidR="005B6F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num w:numId="1" w16cid:durableId="604849593">
    <w:abstractNumId w:val="0"/>
  </w:num>
  <w:num w:numId="2" w16cid:durableId="391150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11BA6"/>
    <w:rsid w:val="00016E77"/>
    <w:rsid w:val="00052FD7"/>
    <w:rsid w:val="000827DB"/>
    <w:rsid w:val="00084DC2"/>
    <w:rsid w:val="000A117D"/>
    <w:rsid w:val="00175B70"/>
    <w:rsid w:val="0018505A"/>
    <w:rsid w:val="00187F8B"/>
    <w:rsid w:val="00204299"/>
    <w:rsid w:val="00242AE7"/>
    <w:rsid w:val="002430D7"/>
    <w:rsid w:val="00255407"/>
    <w:rsid w:val="00262313"/>
    <w:rsid w:val="00280B29"/>
    <w:rsid w:val="00287CA4"/>
    <w:rsid w:val="00291321"/>
    <w:rsid w:val="002A7A18"/>
    <w:rsid w:val="002D15BD"/>
    <w:rsid w:val="003311A9"/>
    <w:rsid w:val="0033585E"/>
    <w:rsid w:val="003522B9"/>
    <w:rsid w:val="0035395E"/>
    <w:rsid w:val="003637D4"/>
    <w:rsid w:val="003800F8"/>
    <w:rsid w:val="003A08FB"/>
    <w:rsid w:val="003D4175"/>
    <w:rsid w:val="003D57FC"/>
    <w:rsid w:val="003F36DE"/>
    <w:rsid w:val="00404521"/>
    <w:rsid w:val="00415E71"/>
    <w:rsid w:val="004220EC"/>
    <w:rsid w:val="00453847"/>
    <w:rsid w:val="00470FBF"/>
    <w:rsid w:val="00485B04"/>
    <w:rsid w:val="0049014B"/>
    <w:rsid w:val="004D35BA"/>
    <w:rsid w:val="004E6051"/>
    <w:rsid w:val="004F6110"/>
    <w:rsid w:val="005107EA"/>
    <w:rsid w:val="005143E5"/>
    <w:rsid w:val="00520903"/>
    <w:rsid w:val="00522620"/>
    <w:rsid w:val="00531A23"/>
    <w:rsid w:val="00541D45"/>
    <w:rsid w:val="0056405E"/>
    <w:rsid w:val="00571DC4"/>
    <w:rsid w:val="00575AB6"/>
    <w:rsid w:val="005864D1"/>
    <w:rsid w:val="005929BB"/>
    <w:rsid w:val="005A16A0"/>
    <w:rsid w:val="005B2E14"/>
    <w:rsid w:val="005B6F94"/>
    <w:rsid w:val="00602DAD"/>
    <w:rsid w:val="00606300"/>
    <w:rsid w:val="006411B6"/>
    <w:rsid w:val="006417F3"/>
    <w:rsid w:val="00651550"/>
    <w:rsid w:val="00651DD5"/>
    <w:rsid w:val="0069695B"/>
    <w:rsid w:val="006A1F9E"/>
    <w:rsid w:val="006A7C53"/>
    <w:rsid w:val="006E5D91"/>
    <w:rsid w:val="00706E20"/>
    <w:rsid w:val="00707370"/>
    <w:rsid w:val="00753897"/>
    <w:rsid w:val="00791FBD"/>
    <w:rsid w:val="007C3D2F"/>
    <w:rsid w:val="007E647E"/>
    <w:rsid w:val="007F30B6"/>
    <w:rsid w:val="008074FE"/>
    <w:rsid w:val="008336B9"/>
    <w:rsid w:val="0084669D"/>
    <w:rsid w:val="0085650C"/>
    <w:rsid w:val="00870CC8"/>
    <w:rsid w:val="0088214A"/>
    <w:rsid w:val="00896C98"/>
    <w:rsid w:val="008B5E63"/>
    <w:rsid w:val="008F13C2"/>
    <w:rsid w:val="008F5106"/>
    <w:rsid w:val="00964DB4"/>
    <w:rsid w:val="00965449"/>
    <w:rsid w:val="00966823"/>
    <w:rsid w:val="00973DAC"/>
    <w:rsid w:val="0099105D"/>
    <w:rsid w:val="009B2BEF"/>
    <w:rsid w:val="009C3D68"/>
    <w:rsid w:val="009C4EF8"/>
    <w:rsid w:val="009E09D7"/>
    <w:rsid w:val="00A1131C"/>
    <w:rsid w:val="00A63C52"/>
    <w:rsid w:val="00A9450D"/>
    <w:rsid w:val="00AB76CD"/>
    <w:rsid w:val="00AC1FC6"/>
    <w:rsid w:val="00AC4C51"/>
    <w:rsid w:val="00AD227B"/>
    <w:rsid w:val="00AE0697"/>
    <w:rsid w:val="00AF2E7E"/>
    <w:rsid w:val="00B0113D"/>
    <w:rsid w:val="00B014BC"/>
    <w:rsid w:val="00B70075"/>
    <w:rsid w:val="00C34585"/>
    <w:rsid w:val="00C424DA"/>
    <w:rsid w:val="00C44339"/>
    <w:rsid w:val="00CD79C3"/>
    <w:rsid w:val="00CD7E21"/>
    <w:rsid w:val="00D20BC2"/>
    <w:rsid w:val="00D462B0"/>
    <w:rsid w:val="00D52178"/>
    <w:rsid w:val="00D930DD"/>
    <w:rsid w:val="00DC0C93"/>
    <w:rsid w:val="00DD52FA"/>
    <w:rsid w:val="00DF0C72"/>
    <w:rsid w:val="00DF16D9"/>
    <w:rsid w:val="00E24FBF"/>
    <w:rsid w:val="00E26FA0"/>
    <w:rsid w:val="00E65390"/>
    <w:rsid w:val="00EB1977"/>
    <w:rsid w:val="00EC1156"/>
    <w:rsid w:val="00EC301E"/>
    <w:rsid w:val="00EC41C7"/>
    <w:rsid w:val="00EE50FD"/>
    <w:rsid w:val="00F02428"/>
    <w:rsid w:val="00F55F50"/>
    <w:rsid w:val="00F57511"/>
    <w:rsid w:val="00F62FDC"/>
    <w:rsid w:val="00F71297"/>
    <w:rsid w:val="00F91D95"/>
    <w:rsid w:val="00F96FE1"/>
    <w:rsid w:val="00FE4C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B0"/>
  </w:style>
  <w:style w:type="paragraph" w:styleId="Heading1">
    <w:name w:val="heading 1"/>
    <w:next w:val="Normal"/>
    <w:link w:val="Heading1Char"/>
    <w:qFormat/>
    <w:rsid w:val="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3">
    <w:name w:val="heading 3"/>
    <w:basedOn w:val="Normal"/>
    <w:next w:val="Normal"/>
    <w:link w:val="Heading3Char"/>
    <w:uiPriority w:val="9"/>
    <w:unhideWhenUsed/>
    <w:qFormat/>
    <w:rsid w:val="00175B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basedOn w:val="Normal"/>
    <w:uiPriority w:val="34"/>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neweb.net/our-net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F8426-C30E-49BD-9B2A-794F679EB86D}">
  <ds:schemaRefs>
    <ds:schemaRef ds:uri="http://schemas.microsoft.com/sharepoint/v3/contenttype/forms"/>
  </ds:schemaRefs>
</ds:datastoreItem>
</file>

<file path=customXml/itemProps2.xml><?xml version="1.0" encoding="utf-8"?>
<ds:datastoreItem xmlns:ds="http://schemas.openxmlformats.org/officeDocument/2006/customXml" ds:itemID="{303E78A4-A7E3-447D-ACB7-DD686D303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60DB53-ADBB-4AAF-AAD2-2B3971C50E4A}">
  <ds:schemaRefs>
    <ds:schemaRef ds:uri="http://schemas.microsoft.com/office/2006/metadata/properties"/>
    <ds:schemaRef ds:uri="http://schemas.microsoft.com/office/infopath/2007/PartnerControls"/>
    <ds:schemaRef ds:uri="d1d45ca0-6321-41b5-a840-73d5e75af7cf"/>
  </ds:schemaRefs>
</ds:datastoreItem>
</file>

<file path=customXml/itemProps4.xml><?xml version="1.0" encoding="utf-8"?>
<ds:datastoreItem xmlns:ds="http://schemas.openxmlformats.org/officeDocument/2006/customXml" ds:itemID="{788E69BF-611A-4394-952D-B2B313BB7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RFaurie</cp:lastModifiedBy>
  <cp:revision>3</cp:revision>
  <dcterms:created xsi:type="dcterms:W3CDTF">2024-02-15T14:17:00Z</dcterms:created>
  <dcterms:modified xsi:type="dcterms:W3CDTF">2024-02-15T23:58:00Z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ies>
</file>